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5EE" w:rsidRDefault="00DD15EE" w:rsidP="00DD15EE">
      <w:pPr>
        <w:spacing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explained variable is the overtime work variable </w:t>
      </w:r>
      <w:r>
        <w:rPr>
          <w:rFonts w:ascii="Times New Roman" w:hAnsi="Times New Roman" w:cs="Times New Roman"/>
          <w:i/>
          <w:sz w:val="24"/>
          <w:szCs w:val="24"/>
        </w:rPr>
        <w:t>OW</w:t>
      </w:r>
      <w:r>
        <w:rPr>
          <w:rFonts w:ascii="Times New Roman" w:hAnsi="Times New Roman" w:cs="Times New Roman"/>
          <w:i/>
          <w:sz w:val="24"/>
          <w:szCs w:val="24"/>
          <w:vertAlign w:val="subscript"/>
        </w:rPr>
        <w:t>it</w:t>
      </w:r>
      <w:r>
        <w:rPr>
          <w:rFonts w:ascii="Times New Roman" w:hAnsi="Times New Roman" w:cs="Times New Roman"/>
          <w:sz w:val="24"/>
          <w:szCs w:val="24"/>
        </w:rPr>
        <w:t xml:space="preserve"> of listed companies. </w:t>
      </w:r>
      <w:r>
        <w:rPr>
          <w:rFonts w:ascii="Times New Roman" w:eastAsia="等线" w:hAnsi="Times New Roman" w:cs="Times New Roman"/>
          <w:sz w:val="24"/>
          <w:szCs w:val="24"/>
        </w:rPr>
        <w:t>In the</w:t>
      </w:r>
      <w:r>
        <w:rPr>
          <w:rFonts w:ascii="Times New Roman" w:hAnsi="Times New Roman" w:cs="Times New Roman"/>
          <w:sz w:val="24"/>
          <w:szCs w:val="24"/>
        </w:rPr>
        <w:t xml:space="preserve"> </w:t>
      </w:r>
      <w:r>
        <w:rPr>
          <w:rFonts w:ascii="Times New Roman" w:eastAsia="等线" w:hAnsi="Times New Roman" w:cs="Times New Roman"/>
          <w:sz w:val="24"/>
          <w:szCs w:val="24"/>
        </w:rPr>
        <w:t>literature</w:t>
      </w:r>
      <w:r>
        <w:rPr>
          <w:rFonts w:ascii="Times New Roman" w:hAnsi="Times New Roman" w:cs="Times New Roman"/>
          <w:sz w:val="24"/>
          <w:szCs w:val="24"/>
        </w:rPr>
        <w:t>, the criterion for determining whether an enterprise is in a state of overtime work is based on comparison standards in terms of time and space dimensions. The reason for this is due to</w:t>
      </w:r>
      <w:r>
        <w:rPr>
          <w:rFonts w:ascii="Times New Roman" w:eastAsia="等线" w:hAnsi="Times New Roman" w:cs="Times New Roman"/>
          <w:sz w:val="24"/>
          <w:szCs w:val="24"/>
        </w:rPr>
        <w:t>, unlike</w:t>
      </w:r>
      <w:r>
        <w:rPr>
          <w:rFonts w:ascii="Times New Roman" w:hAnsi="Times New Roman" w:cs="Times New Roman"/>
          <w:sz w:val="24"/>
          <w:szCs w:val="24"/>
        </w:rPr>
        <w:t xml:space="preserve"> questionnaires, which are easily interfered </w:t>
      </w:r>
      <w:r>
        <w:rPr>
          <w:rFonts w:ascii="Times New Roman" w:eastAsia="等线" w:hAnsi="Times New Roman" w:cs="Times New Roman"/>
          <w:sz w:val="24"/>
          <w:szCs w:val="24"/>
        </w:rPr>
        <w:t xml:space="preserve">with </w:t>
      </w:r>
      <w:r>
        <w:rPr>
          <w:rFonts w:ascii="Times New Roman" w:hAnsi="Times New Roman" w:cs="Times New Roman"/>
          <w:sz w:val="24"/>
          <w:szCs w:val="24"/>
        </w:rPr>
        <w:t xml:space="preserve">by factors such as subjective cognitive biases and personal willingness tendencies, satellite </w:t>
      </w:r>
      <w:r>
        <w:rPr>
          <w:rFonts w:ascii="Times New Roman" w:eastAsia="等线" w:hAnsi="Times New Roman" w:cs="Times New Roman"/>
          <w:sz w:val="24"/>
          <w:szCs w:val="24"/>
        </w:rPr>
        <w:t>nighttime</w:t>
      </w:r>
      <w:r>
        <w:rPr>
          <w:rFonts w:ascii="Times New Roman" w:hAnsi="Times New Roman" w:cs="Times New Roman"/>
          <w:sz w:val="24"/>
          <w:szCs w:val="24"/>
        </w:rPr>
        <w:t xml:space="preserve"> light data </w:t>
      </w:r>
      <w:r>
        <w:rPr>
          <w:rFonts w:ascii="Times New Roman" w:eastAsia="等线" w:hAnsi="Times New Roman" w:cs="Times New Roman"/>
          <w:sz w:val="24"/>
          <w:szCs w:val="24"/>
        </w:rPr>
        <w:t>are</w:t>
      </w:r>
      <w:r>
        <w:rPr>
          <w:rFonts w:ascii="Times New Roman" w:hAnsi="Times New Roman" w:cs="Times New Roman"/>
          <w:sz w:val="24"/>
          <w:szCs w:val="24"/>
        </w:rPr>
        <w:t xml:space="preserve"> obtained </w:t>
      </w:r>
      <w:r>
        <w:rPr>
          <w:rFonts w:ascii="Times New Roman" w:eastAsia="等线" w:hAnsi="Times New Roman" w:cs="Times New Roman"/>
          <w:sz w:val="24"/>
          <w:szCs w:val="24"/>
        </w:rPr>
        <w:t>via</w:t>
      </w:r>
      <w:r>
        <w:rPr>
          <w:rFonts w:ascii="Times New Roman" w:hAnsi="Times New Roman" w:cs="Times New Roman"/>
          <w:sz w:val="24"/>
          <w:szCs w:val="24"/>
        </w:rPr>
        <w:t xml:space="preserve"> remote sensing technology. Such technology can continuously collect information over a long time span and covers a vast geographical area. These characteristics are more in line with the needs of empirical research on large samples than are those of other approaches. The building method is as follows: on the one hand, the </w:t>
      </w:r>
      <w:r>
        <w:rPr>
          <w:rFonts w:ascii="Times New Roman" w:eastAsia="等线" w:hAnsi="Times New Roman" w:cs="Times New Roman"/>
          <w:sz w:val="24"/>
          <w:szCs w:val="24"/>
        </w:rPr>
        <w:t>nighttime</w:t>
      </w:r>
      <w:r>
        <w:rPr>
          <w:rFonts w:ascii="Times New Roman" w:hAnsi="Times New Roman" w:cs="Times New Roman"/>
          <w:sz w:val="24"/>
          <w:szCs w:val="24"/>
        </w:rPr>
        <w:t xml:space="preserve"> light brightness of listed company </w:t>
      </w:r>
      <w:r>
        <w:rPr>
          <w:rFonts w:ascii="Times New Roman" w:hAnsi="Times New Roman" w:cs="Times New Roman"/>
          <w:i/>
          <w:sz w:val="24"/>
          <w:szCs w:val="24"/>
        </w:rPr>
        <w:t>i</w:t>
      </w:r>
      <w:r>
        <w:rPr>
          <w:rFonts w:ascii="Times New Roman" w:hAnsi="Times New Roman" w:cs="Times New Roman"/>
          <w:sz w:val="24"/>
          <w:szCs w:val="24"/>
        </w:rPr>
        <w:t xml:space="preserve"> during legal holidays is taken as the comparison benchmark in the time dimension. When the nighttime light brightness of listed company </w:t>
      </w:r>
      <w:r>
        <w:rPr>
          <w:rFonts w:ascii="Times New Roman" w:hAnsi="Times New Roman" w:cs="Times New Roman"/>
          <w:i/>
          <w:sz w:val="24"/>
          <w:szCs w:val="24"/>
        </w:rPr>
        <w:t>i</w:t>
      </w:r>
      <w:r>
        <w:rPr>
          <w:rFonts w:ascii="Times New Roman" w:hAnsi="Times New Roman" w:cs="Times New Roman"/>
          <w:sz w:val="24"/>
          <w:szCs w:val="24"/>
        </w:rPr>
        <w:t xml:space="preserve"> is </w:t>
      </w:r>
      <w:r>
        <w:rPr>
          <w:rFonts w:ascii="Times New Roman" w:eastAsia="等线" w:hAnsi="Times New Roman" w:cs="Times New Roman"/>
          <w:sz w:val="24"/>
          <w:szCs w:val="24"/>
        </w:rPr>
        <w:t>greater</w:t>
      </w:r>
      <w:r>
        <w:rPr>
          <w:rFonts w:ascii="Times New Roman" w:hAnsi="Times New Roman" w:cs="Times New Roman"/>
          <w:sz w:val="24"/>
          <w:szCs w:val="24"/>
        </w:rPr>
        <w:t xml:space="preserve"> than that during legal holidays, the high light brightness may not be an inherent characteristic of the grid where the listed company is located but rather caused by the company's nighttime overtime work. On the other hand, the </w:t>
      </w:r>
      <w:r>
        <w:rPr>
          <w:rFonts w:ascii="Times New Roman" w:eastAsia="等线" w:hAnsi="Times New Roman" w:cs="Times New Roman"/>
          <w:sz w:val="24"/>
          <w:szCs w:val="24"/>
        </w:rPr>
        <w:t>nighttime</w:t>
      </w:r>
      <w:r>
        <w:rPr>
          <w:rFonts w:ascii="Times New Roman" w:hAnsi="Times New Roman" w:cs="Times New Roman"/>
          <w:sz w:val="24"/>
          <w:szCs w:val="24"/>
        </w:rPr>
        <w:t xml:space="preserve"> light brightness of the district or county where listed firm </w:t>
      </w:r>
      <w:r>
        <w:rPr>
          <w:rFonts w:ascii="Times New Roman" w:hAnsi="Times New Roman" w:cs="Times New Roman"/>
          <w:i/>
          <w:sz w:val="24"/>
          <w:szCs w:val="24"/>
        </w:rPr>
        <w:t>i</w:t>
      </w:r>
      <w:r>
        <w:rPr>
          <w:rFonts w:ascii="Times New Roman" w:hAnsi="Times New Roman" w:cs="Times New Roman"/>
          <w:sz w:val="24"/>
          <w:szCs w:val="24"/>
        </w:rPr>
        <w:t xml:space="preserve"> is located is used as the comparison benchmark in the spatial dimension. When the nighttime light brightness of listed company </w:t>
      </w:r>
      <w:r>
        <w:rPr>
          <w:rFonts w:ascii="Times New Roman" w:hAnsi="Times New Roman" w:cs="Times New Roman"/>
          <w:i/>
          <w:sz w:val="24"/>
          <w:szCs w:val="24"/>
        </w:rPr>
        <w:t>i</w:t>
      </w:r>
      <w:r>
        <w:rPr>
          <w:rFonts w:ascii="Times New Roman" w:hAnsi="Times New Roman" w:cs="Times New Roman"/>
          <w:sz w:val="24"/>
          <w:szCs w:val="24"/>
        </w:rPr>
        <w:t xml:space="preserve"> is </w:t>
      </w:r>
      <w:r>
        <w:rPr>
          <w:rFonts w:ascii="Times New Roman" w:eastAsia="等线" w:hAnsi="Times New Roman" w:cs="Times New Roman"/>
          <w:sz w:val="24"/>
          <w:szCs w:val="24"/>
        </w:rPr>
        <w:t>greater</w:t>
      </w:r>
      <w:r>
        <w:rPr>
          <w:rFonts w:ascii="Times New Roman" w:hAnsi="Times New Roman" w:cs="Times New Roman"/>
          <w:sz w:val="24"/>
          <w:szCs w:val="24"/>
        </w:rPr>
        <w:t xml:space="preserve"> than that of the district or county where it is located, it may also reflect the company's nighttime overtime work situation rather than the spillover effect generated by the surrounding infrastructure construction. In summary, when listed company </w:t>
      </w:r>
      <w:r>
        <w:rPr>
          <w:rFonts w:ascii="Times New Roman" w:hAnsi="Times New Roman" w:cs="Times New Roman"/>
          <w:i/>
          <w:sz w:val="24"/>
          <w:szCs w:val="24"/>
        </w:rPr>
        <w:t>i</w:t>
      </w:r>
      <w:r>
        <w:rPr>
          <w:rFonts w:ascii="Times New Roman" w:hAnsi="Times New Roman" w:cs="Times New Roman"/>
          <w:sz w:val="24"/>
          <w:szCs w:val="24"/>
        </w:rPr>
        <w:t xml:space="preserve"> meets both the time and spatial dimension criteria simultaneously, it is defined as being in a state of overtime work. The overtime work variable </w:t>
      </w:r>
      <w:r>
        <w:rPr>
          <w:rFonts w:ascii="Times New Roman" w:hAnsi="Times New Roman" w:cs="Times New Roman"/>
          <w:i/>
          <w:sz w:val="24"/>
          <w:szCs w:val="24"/>
        </w:rPr>
        <w:t>OW</w:t>
      </w:r>
      <w:r>
        <w:rPr>
          <w:rFonts w:ascii="Times New Roman" w:hAnsi="Times New Roman" w:cs="Times New Roman"/>
          <w:i/>
          <w:sz w:val="24"/>
          <w:szCs w:val="24"/>
          <w:vertAlign w:val="subscript"/>
        </w:rPr>
        <w:t>it</w:t>
      </w:r>
      <w:r>
        <w:rPr>
          <w:rFonts w:ascii="Times New Roman" w:hAnsi="Times New Roman" w:cs="Times New Roman"/>
          <w:sz w:val="24"/>
          <w:szCs w:val="24"/>
        </w:rPr>
        <w:t xml:space="preserve"> of the listed company then counts the number of overtime work days of listed firm </w:t>
      </w:r>
      <w:r>
        <w:rPr>
          <w:rFonts w:ascii="Times New Roman" w:hAnsi="Times New Roman" w:cs="Times New Roman"/>
          <w:i/>
          <w:sz w:val="24"/>
          <w:szCs w:val="24"/>
        </w:rPr>
        <w:t>i</w:t>
      </w:r>
      <w:r>
        <w:rPr>
          <w:rFonts w:ascii="Times New Roman" w:hAnsi="Times New Roman" w:cs="Times New Roman"/>
          <w:sz w:val="24"/>
          <w:szCs w:val="24"/>
        </w:rPr>
        <w:t xml:space="preserve"> in year </w:t>
      </w:r>
      <w:r>
        <w:rPr>
          <w:rFonts w:ascii="Times New Roman" w:hAnsi="Times New Roman" w:cs="Times New Roman"/>
          <w:i/>
          <w:sz w:val="24"/>
          <w:szCs w:val="24"/>
        </w:rPr>
        <w:t>t</w:t>
      </w:r>
      <w:r>
        <w:rPr>
          <w:rFonts w:ascii="Times New Roman" w:hAnsi="Times New Roman" w:cs="Times New Roman"/>
          <w:sz w:val="24"/>
          <w:szCs w:val="24"/>
        </w:rPr>
        <w:t>.</w:t>
      </w:r>
    </w:p>
    <w:p w:rsidR="00DD15EE" w:rsidRDefault="00DD15EE" w:rsidP="00DD15EE">
      <w:pPr>
        <w:spacing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explanatory variable is digitalization </w:t>
      </w:r>
      <w:r>
        <w:rPr>
          <w:rFonts w:ascii="Times New Roman" w:hAnsi="Times New Roman" w:cs="Times New Roman"/>
          <w:i/>
          <w:sz w:val="24"/>
          <w:szCs w:val="24"/>
        </w:rPr>
        <w:t>DT</w:t>
      </w:r>
      <w:r>
        <w:rPr>
          <w:rFonts w:ascii="Times New Roman" w:hAnsi="Times New Roman" w:cs="Times New Roman"/>
          <w:i/>
          <w:sz w:val="24"/>
          <w:szCs w:val="24"/>
          <w:vertAlign w:val="subscript"/>
        </w:rPr>
        <w:t>it</w:t>
      </w:r>
      <w:r>
        <w:rPr>
          <w:rFonts w:ascii="Times New Roman" w:hAnsi="Times New Roman" w:cs="Times New Roman"/>
          <w:sz w:val="24"/>
          <w:szCs w:val="24"/>
        </w:rPr>
        <w:t xml:space="preserve">. </w:t>
      </w:r>
      <w:r>
        <w:rPr>
          <w:rFonts w:ascii="Times New Roman" w:eastAsia="等线" w:hAnsi="Times New Roman" w:cs="Times New Roman"/>
          <w:sz w:val="24"/>
          <w:szCs w:val="24"/>
        </w:rPr>
        <w:t>In the</w:t>
      </w:r>
      <w:r>
        <w:rPr>
          <w:rFonts w:ascii="Times New Roman" w:hAnsi="Times New Roman" w:cs="Times New Roman"/>
          <w:sz w:val="24"/>
          <w:szCs w:val="24"/>
        </w:rPr>
        <w:t xml:space="preserve"> </w:t>
      </w:r>
      <w:r>
        <w:rPr>
          <w:rFonts w:ascii="Times New Roman" w:eastAsia="等线" w:hAnsi="Times New Roman" w:cs="Times New Roman"/>
          <w:sz w:val="24"/>
          <w:szCs w:val="24"/>
        </w:rPr>
        <w:t>literature</w:t>
      </w:r>
      <w:bookmarkStart w:id="0" w:name="_GoBack"/>
      <w:bookmarkEnd w:id="0"/>
      <w:r>
        <w:rPr>
          <w:rFonts w:ascii="Times New Roman" w:eastAsia="等线" w:hAnsi="Times New Roman" w:cs="Times New Roman"/>
          <w:sz w:val="24"/>
          <w:szCs w:val="24"/>
        </w:rPr>
        <w:t>, which is</w:t>
      </w:r>
      <w:r>
        <w:rPr>
          <w:rFonts w:ascii="Times New Roman" w:hAnsi="Times New Roman" w:cs="Times New Roman"/>
          <w:sz w:val="24"/>
          <w:szCs w:val="24"/>
        </w:rPr>
        <w:t xml:space="preserve"> based on the text recognition function of Python crawlers, and taking the annual reports of listed firms in </w:t>
      </w:r>
      <w:r>
        <w:rPr>
          <w:rFonts w:ascii="Times New Roman" w:eastAsia="等线" w:hAnsi="Times New Roman" w:cs="Times New Roman"/>
          <w:sz w:val="24"/>
          <w:szCs w:val="24"/>
        </w:rPr>
        <w:t xml:space="preserve">the </w:t>
      </w:r>
      <w:r>
        <w:rPr>
          <w:rFonts w:ascii="Times New Roman" w:hAnsi="Times New Roman" w:cs="Times New Roman"/>
          <w:sz w:val="24"/>
          <w:szCs w:val="24"/>
        </w:rPr>
        <w:t>Shanghai and Shenzhen stock markets as the basis, a specific keyword set for digitalization is selected, and keywords with negative words and those that do not belong to the company itself are excluded. The method of searching</w:t>
      </w:r>
      <w:r>
        <w:rPr>
          <w:rFonts w:ascii="Times New Roman" w:eastAsia="等线" w:hAnsi="Times New Roman" w:cs="Times New Roman"/>
          <w:sz w:val="24"/>
          <w:szCs w:val="24"/>
        </w:rPr>
        <w:t xml:space="preserve">, </w:t>
      </w:r>
      <w:r>
        <w:rPr>
          <w:rFonts w:ascii="Times New Roman" w:hAnsi="Times New Roman" w:cs="Times New Roman"/>
          <w:sz w:val="24"/>
          <w:szCs w:val="24"/>
        </w:rPr>
        <w:t>matching</w:t>
      </w:r>
      <w:r>
        <w:rPr>
          <w:rFonts w:ascii="Times New Roman" w:eastAsia="等线" w:hAnsi="Times New Roman" w:cs="Times New Roman"/>
          <w:sz w:val="24"/>
          <w:szCs w:val="24"/>
        </w:rPr>
        <w:t>, and summing</w:t>
      </w:r>
      <w:r>
        <w:rPr>
          <w:rFonts w:ascii="Times New Roman" w:hAnsi="Times New Roman" w:cs="Times New Roman"/>
          <w:sz w:val="24"/>
          <w:szCs w:val="24"/>
        </w:rPr>
        <w:t xml:space="preserve"> keywords is adopted to depict the level of digitalization of enterprises.</w:t>
      </w:r>
    </w:p>
    <w:p w:rsidR="00DD15EE" w:rsidRDefault="00DD15EE" w:rsidP="00DD15EE">
      <w:pPr>
        <w:spacing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control variable is </w:t>
      </w:r>
      <w:r>
        <w:rPr>
          <w:rFonts w:ascii="Times New Roman" w:hAnsi="Times New Roman" w:cs="Times New Roman"/>
          <w:i/>
          <w:sz w:val="24"/>
          <w:szCs w:val="24"/>
        </w:rPr>
        <w:t>X</w:t>
      </w:r>
      <w:r>
        <w:rPr>
          <w:rFonts w:ascii="Times New Roman" w:hAnsi="Times New Roman" w:cs="Times New Roman"/>
          <w:i/>
          <w:sz w:val="24"/>
          <w:szCs w:val="24"/>
          <w:vertAlign w:val="subscript"/>
        </w:rPr>
        <w:t>it</w:t>
      </w:r>
      <w:r>
        <w:rPr>
          <w:rFonts w:ascii="Times New Roman" w:hAnsi="Times New Roman" w:cs="Times New Roman"/>
          <w:sz w:val="24"/>
          <w:szCs w:val="24"/>
        </w:rPr>
        <w:t xml:space="preserve">, which incorporates key enterprise-level production and </w:t>
      </w:r>
      <w:r>
        <w:rPr>
          <w:rFonts w:ascii="Times New Roman" w:hAnsi="Times New Roman" w:cs="Times New Roman"/>
          <w:sz w:val="24"/>
          <w:szCs w:val="24"/>
        </w:rPr>
        <w:lastRenderedPageBreak/>
        <w:t xml:space="preserve">operation characteristics to account for potential confounding effects. These variables are selected on </w:t>
      </w:r>
      <w:r>
        <w:rPr>
          <w:rFonts w:ascii="Times New Roman" w:eastAsia="等线" w:hAnsi="Times New Roman" w:cs="Times New Roman"/>
          <w:sz w:val="24"/>
          <w:szCs w:val="24"/>
        </w:rPr>
        <w:t xml:space="preserve">the basis of </w:t>
      </w:r>
      <w:r>
        <w:rPr>
          <w:rFonts w:ascii="Times New Roman" w:hAnsi="Times New Roman" w:cs="Times New Roman"/>
          <w:sz w:val="24"/>
          <w:szCs w:val="24"/>
        </w:rPr>
        <w:t>their theoretical relevance to both overtime work patterns and digitalization adoption. Specifically</w:t>
      </w:r>
      <w:r>
        <w:rPr>
          <w:rFonts w:ascii="Times New Roman" w:eastAsia="等线" w:hAnsi="Times New Roman" w:cs="Times New Roman"/>
          <w:sz w:val="24"/>
          <w:szCs w:val="24"/>
        </w:rPr>
        <w:t>, the firm</w:t>
      </w:r>
      <w:r>
        <w:rPr>
          <w:rFonts w:ascii="Times New Roman" w:hAnsi="Times New Roman" w:cs="Times New Roman"/>
          <w:sz w:val="24"/>
          <w:szCs w:val="24"/>
        </w:rPr>
        <w:t xml:space="preserve"> scale variable </w:t>
      </w:r>
      <w:r>
        <w:rPr>
          <w:rFonts w:ascii="Times New Roman" w:hAnsi="Times New Roman" w:cs="Times New Roman"/>
          <w:i/>
          <w:sz w:val="24"/>
          <w:szCs w:val="24"/>
        </w:rPr>
        <w:t>Scale</w:t>
      </w:r>
      <w:r>
        <w:rPr>
          <w:rFonts w:ascii="Times New Roman" w:hAnsi="Times New Roman" w:cs="Times New Roman"/>
          <w:sz w:val="24"/>
          <w:szCs w:val="24"/>
        </w:rPr>
        <w:t xml:space="preserve"> is operationalized as the natural logarithm of total assets, which captures economies of scale and resource endowment effects; </w:t>
      </w:r>
      <w:r>
        <w:rPr>
          <w:rFonts w:ascii="Times New Roman" w:eastAsia="等线" w:hAnsi="Times New Roman" w:cs="Times New Roman"/>
          <w:sz w:val="24"/>
          <w:szCs w:val="24"/>
        </w:rPr>
        <w:t>the capital</w:t>
      </w:r>
      <w:r>
        <w:rPr>
          <w:rFonts w:ascii="Times New Roman" w:hAnsi="Times New Roman" w:cs="Times New Roman"/>
          <w:sz w:val="24"/>
          <w:szCs w:val="24"/>
        </w:rPr>
        <w:t xml:space="preserve"> structure variable </w:t>
      </w:r>
      <w:r>
        <w:rPr>
          <w:rFonts w:ascii="Times New Roman" w:hAnsi="Times New Roman" w:cs="Times New Roman"/>
          <w:i/>
          <w:sz w:val="24"/>
          <w:szCs w:val="24"/>
        </w:rPr>
        <w:t>CS</w:t>
      </w:r>
      <w:r>
        <w:rPr>
          <w:rFonts w:ascii="Times New Roman" w:hAnsi="Times New Roman" w:cs="Times New Roman"/>
          <w:sz w:val="24"/>
          <w:szCs w:val="24"/>
        </w:rPr>
        <w:t xml:space="preserve"> is measured by the total debt-to-assets ratio, reflecting financial leverage and risk management strategies; </w:t>
      </w:r>
      <w:r>
        <w:rPr>
          <w:rFonts w:ascii="Times New Roman" w:eastAsia="等线" w:hAnsi="Times New Roman" w:cs="Times New Roman"/>
          <w:sz w:val="24"/>
          <w:szCs w:val="24"/>
        </w:rPr>
        <w:t>the capital</w:t>
      </w:r>
      <w:r>
        <w:rPr>
          <w:rFonts w:ascii="Times New Roman" w:hAnsi="Times New Roman" w:cs="Times New Roman"/>
          <w:sz w:val="24"/>
          <w:szCs w:val="24"/>
        </w:rPr>
        <w:t xml:space="preserve"> intensity variable </w:t>
      </w:r>
      <w:r>
        <w:rPr>
          <w:rFonts w:ascii="Times New Roman" w:hAnsi="Times New Roman" w:cs="Times New Roman"/>
          <w:i/>
          <w:sz w:val="24"/>
          <w:szCs w:val="24"/>
        </w:rPr>
        <w:t>CI</w:t>
      </w:r>
      <w:r>
        <w:rPr>
          <w:rFonts w:ascii="Times New Roman" w:hAnsi="Times New Roman" w:cs="Times New Roman"/>
          <w:sz w:val="24"/>
          <w:szCs w:val="24"/>
        </w:rPr>
        <w:t xml:space="preserve"> is calculated as fixed assets per employee, representing the technology-intensive nature of production processes; </w:t>
      </w:r>
      <w:r>
        <w:rPr>
          <w:rFonts w:ascii="Times New Roman" w:eastAsia="等线" w:hAnsi="Times New Roman" w:cs="Times New Roman"/>
          <w:sz w:val="24"/>
          <w:szCs w:val="24"/>
        </w:rPr>
        <w:t>the profitability</w:t>
      </w:r>
      <w:r>
        <w:rPr>
          <w:rFonts w:ascii="Times New Roman" w:hAnsi="Times New Roman" w:cs="Times New Roman"/>
          <w:sz w:val="24"/>
          <w:szCs w:val="24"/>
        </w:rPr>
        <w:t xml:space="preserve"> variable </w:t>
      </w:r>
      <w:r>
        <w:rPr>
          <w:rFonts w:ascii="Times New Roman" w:hAnsi="Times New Roman" w:cs="Times New Roman"/>
          <w:i/>
          <w:sz w:val="24"/>
          <w:szCs w:val="24"/>
        </w:rPr>
        <w:t>Profit</w:t>
      </w:r>
      <w:r>
        <w:rPr>
          <w:rFonts w:ascii="Times New Roman" w:hAnsi="Times New Roman" w:cs="Times New Roman"/>
          <w:sz w:val="24"/>
          <w:szCs w:val="24"/>
        </w:rPr>
        <w:t xml:space="preserve"> is operationalized as return on assets, capturing the efficiency of asset utilization and overall financial performance; </w:t>
      </w:r>
      <w:r>
        <w:rPr>
          <w:rFonts w:ascii="Times New Roman" w:eastAsia="等线" w:hAnsi="Times New Roman" w:cs="Times New Roman"/>
          <w:sz w:val="24"/>
          <w:szCs w:val="24"/>
        </w:rPr>
        <w:t>and the ownership</w:t>
      </w:r>
      <w:r>
        <w:rPr>
          <w:rFonts w:ascii="Times New Roman" w:hAnsi="Times New Roman" w:cs="Times New Roman"/>
          <w:sz w:val="24"/>
          <w:szCs w:val="24"/>
        </w:rPr>
        <w:t xml:space="preserve"> concentration variable </w:t>
      </w:r>
      <w:r>
        <w:rPr>
          <w:rFonts w:ascii="Times New Roman" w:hAnsi="Times New Roman" w:cs="Times New Roman"/>
          <w:i/>
          <w:sz w:val="24"/>
          <w:szCs w:val="24"/>
        </w:rPr>
        <w:t>OC</w:t>
      </w:r>
      <w:r>
        <w:rPr>
          <w:rFonts w:ascii="Times New Roman" w:hAnsi="Times New Roman" w:cs="Times New Roman"/>
          <w:sz w:val="24"/>
          <w:szCs w:val="24"/>
        </w:rPr>
        <w:t xml:space="preserve"> is measured by the percentage of shares held by the largest shareholder, reflecting governance structures and agency costs.</w:t>
      </w:r>
    </w:p>
    <w:p w:rsidR="00B321DC" w:rsidRPr="00DD15EE" w:rsidRDefault="00BB02FB" w:rsidP="00DD15EE">
      <w:pPr>
        <w:spacing w:line="360" w:lineRule="auto"/>
      </w:pPr>
    </w:p>
    <w:sectPr w:rsidR="00B321DC" w:rsidRPr="00DD15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2FB" w:rsidRDefault="00BB02FB" w:rsidP="00DD15EE">
      <w:r>
        <w:separator/>
      </w:r>
    </w:p>
  </w:endnote>
  <w:endnote w:type="continuationSeparator" w:id="0">
    <w:p w:rsidR="00BB02FB" w:rsidRDefault="00BB02FB" w:rsidP="00DD1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2FB" w:rsidRDefault="00BB02FB" w:rsidP="00DD15EE">
      <w:r>
        <w:separator/>
      </w:r>
    </w:p>
  </w:footnote>
  <w:footnote w:type="continuationSeparator" w:id="0">
    <w:p w:rsidR="00BB02FB" w:rsidRDefault="00BB02FB" w:rsidP="00DD15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EFD"/>
    <w:rsid w:val="001D48A6"/>
    <w:rsid w:val="00426E29"/>
    <w:rsid w:val="00733EFD"/>
    <w:rsid w:val="00BB02FB"/>
    <w:rsid w:val="00DD1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5A5F5"/>
  <w15:chartTrackingRefBased/>
  <w15:docId w15:val="{72453904-4799-4CF8-98E0-5DE86C472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5E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D15E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D15EE"/>
    <w:rPr>
      <w:sz w:val="18"/>
      <w:szCs w:val="18"/>
    </w:rPr>
  </w:style>
  <w:style w:type="paragraph" w:styleId="a5">
    <w:name w:val="footer"/>
    <w:basedOn w:val="a"/>
    <w:link w:val="a6"/>
    <w:uiPriority w:val="99"/>
    <w:unhideWhenUsed/>
    <w:rsid w:val="00DD15EE"/>
    <w:pPr>
      <w:tabs>
        <w:tab w:val="center" w:pos="4153"/>
        <w:tab w:val="right" w:pos="8306"/>
      </w:tabs>
      <w:snapToGrid w:val="0"/>
      <w:jc w:val="left"/>
    </w:pPr>
    <w:rPr>
      <w:sz w:val="18"/>
      <w:szCs w:val="18"/>
    </w:rPr>
  </w:style>
  <w:style w:type="character" w:customStyle="1" w:styleId="a6">
    <w:name w:val="页脚 字符"/>
    <w:basedOn w:val="a0"/>
    <w:link w:val="a5"/>
    <w:uiPriority w:val="99"/>
    <w:rsid w:val="00DD15EE"/>
    <w:rPr>
      <w:sz w:val="18"/>
      <w:szCs w:val="18"/>
    </w:rPr>
  </w:style>
  <w:style w:type="character" w:styleId="a7">
    <w:name w:val="Hyperlink"/>
    <w:basedOn w:val="a0"/>
    <w:uiPriority w:val="99"/>
    <w:unhideWhenUsed/>
    <w:rsid w:val="00DD15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524</Words>
  <Characters>2993</Characters>
  <Application>Microsoft Office Word</Application>
  <DocSecurity>0</DocSecurity>
  <Lines>24</Lines>
  <Paragraphs>7</Paragraphs>
  <ScaleCrop>false</ScaleCrop>
  <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duwei</dc:creator>
  <cp:keywords/>
  <dc:description/>
  <cp:lastModifiedBy>duwei</cp:lastModifiedBy>
  <cp:revision>2</cp:revision>
  <dcterms:created xsi:type="dcterms:W3CDTF">2026-03-11T05:24:00Z</dcterms:created>
  <dcterms:modified xsi:type="dcterms:W3CDTF">2026-03-11T05:25:00Z</dcterms:modified>
</cp:coreProperties>
</file>